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0F12" w14:textId="77777777" w:rsidR="00D23390" w:rsidRPr="00F60854" w:rsidRDefault="00D23390" w:rsidP="00D23390">
      <w:pPr>
        <w:rPr>
          <w:b/>
          <w:bCs/>
          <w:sz w:val="32"/>
          <w:szCs w:val="32"/>
        </w:rPr>
      </w:pPr>
      <w:r w:rsidRPr="00F60854">
        <w:rPr>
          <w:b/>
          <w:bCs/>
          <w:sz w:val="32"/>
          <w:szCs w:val="32"/>
        </w:rPr>
        <w:t>Report: Elsevier Roundtable on AI and the Future of Research</w:t>
      </w:r>
    </w:p>
    <w:p w14:paraId="09B41B63" w14:textId="7D704B19" w:rsidR="002E6F68" w:rsidRPr="00D23390" w:rsidRDefault="000E5839" w:rsidP="00D23390">
      <w:r>
        <w:rPr>
          <w:noProof/>
        </w:rPr>
        <w:drawing>
          <wp:inline distT="0" distB="0" distL="0" distR="0" wp14:anchorId="5D65B260" wp14:editId="3CCC2C1F">
            <wp:extent cx="3876733" cy="2179320"/>
            <wp:effectExtent l="0" t="0" r="9525" b="0"/>
            <wp:docPr id="19873042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51" cy="218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9F6AF" w14:textId="77777777" w:rsidR="00D23390" w:rsidRPr="00D23390" w:rsidRDefault="00D23390" w:rsidP="00D23390">
      <w:pPr>
        <w:rPr>
          <w:b/>
          <w:bCs/>
        </w:rPr>
      </w:pPr>
      <w:r w:rsidRPr="00D23390">
        <w:rPr>
          <w:b/>
          <w:bCs/>
        </w:rPr>
        <w:t>About</w:t>
      </w:r>
    </w:p>
    <w:p w14:paraId="26D9D45F" w14:textId="741B7B43" w:rsidR="008053CC" w:rsidRDefault="00D23390" w:rsidP="00D23390">
      <w:r w:rsidRPr="00D23390">
        <w:t>This</w:t>
      </w:r>
      <w:r w:rsidR="009A7506">
        <w:t xml:space="preserve"> </w:t>
      </w:r>
      <w:r w:rsidRPr="00D23390">
        <w:t>roundtable</w:t>
      </w:r>
      <w:r w:rsidR="005743C2">
        <w:t xml:space="preserve"> was</w:t>
      </w:r>
      <w:r w:rsidRPr="00D23390">
        <w:t xml:space="preserve"> </w:t>
      </w:r>
      <w:r w:rsidR="001858A5">
        <w:t>organised</w:t>
      </w:r>
      <w:r w:rsidRPr="00D23390">
        <w:t xml:space="preserve"> by Elsevier in collaboration with </w:t>
      </w:r>
      <w:r w:rsidR="000E5839">
        <w:t>T</w:t>
      </w:r>
      <w:r w:rsidRPr="00D23390">
        <w:t xml:space="preserve">he Foundation for Science and </w:t>
      </w:r>
      <w:r w:rsidR="00EF1B77" w:rsidRPr="00D23390">
        <w:t>Technology and</w:t>
      </w:r>
      <w:r w:rsidR="00DA3C63">
        <w:t xml:space="preserve"> </w:t>
      </w:r>
      <w:r w:rsidRPr="00D23390">
        <w:t xml:space="preserve">formed </w:t>
      </w:r>
      <w:r w:rsidR="001858A5">
        <w:t>the first in</w:t>
      </w:r>
      <w:r w:rsidRPr="00D23390">
        <w:t xml:space="preserve"> a series of international discussions exploring how artificial intelligence (AI) is reshaping research systems worldwide.</w:t>
      </w:r>
      <w:r w:rsidR="001858A5">
        <w:t xml:space="preserve"> </w:t>
      </w:r>
    </w:p>
    <w:p w14:paraId="01D98CEB" w14:textId="385978E0" w:rsidR="00D23390" w:rsidRPr="00D23390" w:rsidRDefault="008053CC" w:rsidP="00D23390">
      <w:pPr>
        <w:rPr>
          <w:b/>
          <w:bCs/>
          <w:sz w:val="22"/>
          <w:szCs w:val="22"/>
        </w:rPr>
      </w:pPr>
      <w:r w:rsidRPr="006230B2">
        <w:t>The group</w:t>
      </w:r>
      <w:r w:rsidR="006230B2" w:rsidRPr="006230B2">
        <w:t xml:space="preserve"> met on Thursday 12</w:t>
      </w:r>
      <w:r w:rsidR="006230B2" w:rsidRPr="006230B2">
        <w:rPr>
          <w:vertAlign w:val="superscript"/>
        </w:rPr>
        <w:t>th</w:t>
      </w:r>
      <w:r w:rsidR="006230B2" w:rsidRPr="006230B2">
        <w:t xml:space="preserve"> March 2026 at the Royal Society. They</w:t>
      </w:r>
      <w:r w:rsidRPr="006230B2">
        <w:t xml:space="preserve"> </w:t>
      </w:r>
      <w:r w:rsidR="00D23390" w:rsidRPr="00D23390">
        <w:t xml:space="preserve">focused on </w:t>
      </w:r>
      <w:r>
        <w:t>identifying</w:t>
      </w:r>
      <w:r w:rsidR="00D23390" w:rsidRPr="00D23390">
        <w:t xml:space="preserve"> practical, policy-oriented actions that could strengthen the UK’s research environment in an era of rapid technological change.</w:t>
      </w:r>
    </w:p>
    <w:p w14:paraId="07838B91" w14:textId="35FF6C3A" w:rsidR="005E1E04" w:rsidRDefault="00D23390" w:rsidP="005E1E04">
      <w:pPr>
        <w:jc w:val="both"/>
        <w:rPr>
          <w:noProof/>
        </w:rPr>
      </w:pPr>
      <w:r w:rsidRPr="00D23390">
        <w:t xml:space="preserve">Elsevier shared findings from its ongoing </w:t>
      </w:r>
      <w:hyperlink r:id="rId9" w:history="1">
        <w:r w:rsidRPr="00D23390">
          <w:rPr>
            <w:rStyle w:val="Hyperlink"/>
            <w:i/>
            <w:iCs/>
          </w:rPr>
          <w:t>Researcher of the Future</w:t>
        </w:r>
        <w:r w:rsidRPr="00D23390">
          <w:rPr>
            <w:rStyle w:val="Hyperlink"/>
          </w:rPr>
          <w:t xml:space="preserve"> initiative</w:t>
        </w:r>
      </w:hyperlink>
      <w:r w:rsidRPr="00D23390">
        <w:t>, based on insights from more than 3,</w:t>
      </w:r>
      <w:r w:rsidR="00DA3C63">
        <w:t>2</w:t>
      </w:r>
      <w:r w:rsidRPr="00D23390">
        <w:t>00 researchers across 1</w:t>
      </w:r>
      <w:r w:rsidR="00DA3C63">
        <w:t>13</w:t>
      </w:r>
      <w:r w:rsidRPr="00D23390">
        <w:t xml:space="preserve"> countries. The session examined the UK-specific data set, discussed institutional and cultural responses, and explored how AI might influence productivity, creativity, research integrity, and policy frameworks.</w:t>
      </w:r>
      <w:r w:rsidR="000E5839" w:rsidRPr="000E5839">
        <w:rPr>
          <w:noProof/>
        </w:rPr>
        <w:t xml:space="preserve"> </w:t>
      </w:r>
    </w:p>
    <w:p w14:paraId="11FFB1B8" w14:textId="57698E43" w:rsidR="00D23390" w:rsidRDefault="000E5839" w:rsidP="005E1E04">
      <w:pPr>
        <w:jc w:val="both"/>
      </w:pPr>
      <w:r>
        <w:rPr>
          <w:noProof/>
        </w:rPr>
        <w:drawing>
          <wp:inline distT="0" distB="0" distL="0" distR="0" wp14:anchorId="45B0E9BC" wp14:editId="523B5421">
            <wp:extent cx="3957282" cy="2225040"/>
            <wp:effectExtent l="0" t="0" r="5715" b="3810"/>
            <wp:docPr id="1989923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837" cy="223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EA7AF" w14:textId="4A0A1E3E" w:rsidR="008053CC" w:rsidRPr="00501AA5" w:rsidRDefault="008053CC" w:rsidP="009A7506">
      <w:pPr>
        <w:spacing w:line="240" w:lineRule="auto"/>
        <w:jc w:val="both"/>
      </w:pPr>
      <w:r w:rsidRPr="00501AA5">
        <w:t>Attendees included:</w:t>
      </w:r>
    </w:p>
    <w:p w14:paraId="0BC43980" w14:textId="1C49F4EC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Tracey Brown, Director, Sense about Science</w:t>
      </w:r>
    </w:p>
    <w:p w14:paraId="55B9EAD1" w14:textId="6DFD0A84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Gavin Costigan, (Former) Chief Executive, Foundation for Science and Technology</w:t>
      </w:r>
    </w:p>
    <w:p w14:paraId="2F52A0E1" w14:textId="2EA6D42B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Helen Coulshed, Associate Vice Dean Education and Senior Lecturer in Chemistry Education, King’s College London</w:t>
      </w:r>
    </w:p>
    <w:p w14:paraId="6B263CDC" w14:textId="7C6E926E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lastRenderedPageBreak/>
        <w:t>Camilla D'Angelo, Policy Manager, CASE</w:t>
      </w:r>
    </w:p>
    <w:p w14:paraId="6AC689E3" w14:textId="61143A17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Esra Erkal, Executive Vice President, Global Communications, Elsevier</w:t>
      </w:r>
    </w:p>
    <w:p w14:paraId="13DCADD6" w14:textId="4890D3E3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Catriona Firth, Associate Director, Research Environment, Research England</w:t>
      </w:r>
    </w:p>
    <w:p w14:paraId="38AD23D5" w14:textId="4C684158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Pallab Ghosh, Science Correspondent, BBC</w:t>
      </w:r>
    </w:p>
    <w:p w14:paraId="0ECBA89D" w14:textId="40A4CD2B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Laura Hassink, Managing Director for STM Journals, Elsevier</w:t>
      </w:r>
    </w:p>
    <w:p w14:paraId="2B836E5B" w14:textId="20CD3407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 xml:space="preserve">Sudesh Kumar, President of AIRTO and Vice-President Health, University of Warwick and AIRTO </w:t>
      </w:r>
    </w:p>
    <w:p w14:paraId="22ACC09F" w14:textId="2B8F6C51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Sarah Main, Vice President Academic and Government Relations UK, Elsevier</w:t>
      </w:r>
    </w:p>
    <w:p w14:paraId="6AC712CA" w14:textId="19D63CE7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Geoffrey Neale, Lecturer in Multifunctional Composite Structures, Cranfield University</w:t>
      </w:r>
    </w:p>
    <w:p w14:paraId="213AD00E" w14:textId="17427EF2" w:rsidR="009A7506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Paul Nurse, President, Royal Society</w:t>
      </w:r>
    </w:p>
    <w:p w14:paraId="17A68C81" w14:textId="5688852C" w:rsidR="00EF1B77" w:rsidRPr="00501AA5" w:rsidRDefault="00EF1B77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F1B77">
        <w:rPr>
          <w:sz w:val="22"/>
          <w:szCs w:val="22"/>
        </w:rPr>
        <w:t>Lawrie Phipps</w:t>
      </w:r>
      <w:r>
        <w:rPr>
          <w:sz w:val="22"/>
          <w:szCs w:val="22"/>
        </w:rPr>
        <w:t>,</w:t>
      </w:r>
      <w:r w:rsidRPr="00EF1B77">
        <w:rPr>
          <w:sz w:val="22"/>
          <w:szCs w:val="22"/>
        </w:rPr>
        <w:t xml:space="preserve"> Director of External Policy Development, Jisc</w:t>
      </w:r>
    </w:p>
    <w:p w14:paraId="555108EE" w14:textId="71E468A2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Hetan Shah, Chief Executive, British Academy</w:t>
      </w:r>
    </w:p>
    <w:p w14:paraId="7989789A" w14:textId="2476D352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Vivienne Stern, Chief Executive, Universities UK</w:t>
      </w:r>
    </w:p>
    <w:p w14:paraId="45DDB1D8" w14:textId="7DB7A21D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 xml:space="preserve">Dominic Tate, Deputy Director of Library and University Collections, University of Edinburgh </w:t>
      </w:r>
    </w:p>
    <w:p w14:paraId="64FC7CFD" w14:textId="77777777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Lesley Thompson, Vice President, Funders, Global Business Development, Elsevier</w:t>
      </w:r>
    </w:p>
    <w:p w14:paraId="3EEDA10A" w14:textId="0F73C880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David Willetts, Chair, Foundation for Science and Technology</w:t>
      </w:r>
    </w:p>
    <w:p w14:paraId="3D47C7A3" w14:textId="77777777" w:rsidR="009A7506" w:rsidRPr="00501AA5" w:rsidRDefault="009A7506" w:rsidP="002845C1">
      <w:pPr>
        <w:pStyle w:val="ListParagraph"/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501AA5">
        <w:rPr>
          <w:sz w:val="22"/>
          <w:szCs w:val="22"/>
        </w:rPr>
        <w:t>James Wilsdon, Exec Director, Research on Research Institute, UCL</w:t>
      </w:r>
    </w:p>
    <w:p w14:paraId="400ADC8B" w14:textId="77777777" w:rsidR="002845C1" w:rsidRPr="002845C1" w:rsidRDefault="002845C1" w:rsidP="002845C1">
      <w:pPr>
        <w:pStyle w:val="ListParagraph"/>
        <w:spacing w:after="0" w:line="240" w:lineRule="auto"/>
        <w:rPr>
          <w:sz w:val="20"/>
          <w:szCs w:val="20"/>
        </w:rPr>
      </w:pPr>
    </w:p>
    <w:p w14:paraId="1D0D2BB7" w14:textId="6A84D304" w:rsidR="002E6F68" w:rsidRPr="00D23390" w:rsidRDefault="002845C1" w:rsidP="00943B03">
      <w:pPr>
        <w:jc w:val="both"/>
      </w:pPr>
      <w:r>
        <w:rPr>
          <w:noProof/>
        </w:rPr>
        <w:drawing>
          <wp:inline distT="0" distB="0" distL="0" distR="0" wp14:anchorId="00421315" wp14:editId="2D81A788">
            <wp:extent cx="3710940" cy="2474646"/>
            <wp:effectExtent l="0" t="0" r="3810" b="1905"/>
            <wp:docPr id="14390174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357" cy="248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1A8FB" w14:textId="77777777" w:rsidR="00D23390" w:rsidRPr="00D23390" w:rsidRDefault="00D23390" w:rsidP="00D23390">
      <w:pPr>
        <w:rPr>
          <w:b/>
          <w:bCs/>
        </w:rPr>
      </w:pPr>
      <w:r w:rsidRPr="00D23390">
        <w:rPr>
          <w:b/>
          <w:bCs/>
        </w:rPr>
        <w:t>Key Themes and Insights</w:t>
      </w:r>
    </w:p>
    <w:p w14:paraId="6CCC5416" w14:textId="1E17911A" w:rsidR="00D23390" w:rsidRDefault="00755AB6" w:rsidP="00755AB6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Adoption is rising, but confidence in lagging</w:t>
      </w:r>
    </w:p>
    <w:p w14:paraId="6D012682" w14:textId="582B8502" w:rsidR="00755AB6" w:rsidRPr="002333EA" w:rsidRDefault="00755AB6" w:rsidP="002333EA">
      <w:pPr>
        <w:pStyle w:val="pf0"/>
        <w:ind w:left="360"/>
        <w:jc w:val="center"/>
        <w:rPr>
          <w:rFonts w:asciiTheme="minorHAnsi" w:hAnsiTheme="minorHAnsi" w:cs="Arial"/>
          <w:b/>
          <w:bCs/>
          <w:i/>
          <w:iCs/>
          <w:color w:val="000000" w:themeColor="text1"/>
          <w:sz w:val="22"/>
          <w:szCs w:val="22"/>
        </w:rPr>
      </w:pPr>
      <w:r w:rsidRPr="002333EA">
        <w:rPr>
          <w:rFonts w:asciiTheme="minorHAnsi" w:eastAsiaTheme="majorEastAsia" w:hAnsiTheme="minorHAnsi"/>
          <w:i/>
          <w:iCs/>
          <w:color w:val="000000" w:themeColor="text1"/>
          <w:sz w:val="22"/>
          <w:szCs w:val="22"/>
          <w:highlight w:val="lightGray"/>
        </w:rPr>
        <w:t>"Skepticism has value if it helps us build better and more responsible systems"</w:t>
      </w:r>
      <w:r w:rsidRPr="002333EA">
        <w:rPr>
          <w:rFonts w:asciiTheme="minorHAnsi" w:hAnsiTheme="minorHAnsi"/>
          <w:i/>
          <w:iCs/>
          <w:color w:val="000000" w:themeColor="text1"/>
          <w:sz w:val="22"/>
          <w:szCs w:val="22"/>
          <w:highlight w:val="lightGray"/>
        </w:rPr>
        <w:t xml:space="preserve"> </w:t>
      </w:r>
      <w:r w:rsidRPr="002333EA">
        <w:rPr>
          <w:rFonts w:asciiTheme="minorHAnsi" w:hAnsiTheme="minorHAnsi" w:cs="Arial"/>
          <w:b/>
          <w:bCs/>
          <w:i/>
          <w:iCs/>
          <w:color w:val="000000" w:themeColor="text1"/>
          <w:sz w:val="22"/>
          <w:szCs w:val="22"/>
          <w:highlight w:val="lightGray"/>
        </w:rPr>
        <w:t>-</w:t>
      </w:r>
      <w:r w:rsidR="008B4942" w:rsidRPr="002333EA">
        <w:rPr>
          <w:rFonts w:asciiTheme="minorHAnsi" w:hAnsiTheme="minorHAnsi" w:cs="Arial"/>
          <w:b/>
          <w:bCs/>
          <w:i/>
          <w:iCs/>
          <w:color w:val="000000" w:themeColor="text1"/>
          <w:sz w:val="22"/>
          <w:szCs w:val="22"/>
          <w:highlight w:val="lightGray"/>
        </w:rPr>
        <w:t xml:space="preserve"> </w:t>
      </w:r>
      <w:r w:rsidRPr="002333EA">
        <w:rPr>
          <w:rStyle w:val="cf21"/>
          <w:rFonts w:asciiTheme="minorHAnsi" w:eastAsiaTheme="majorEastAsia" w:hAnsiTheme="minorHAnsi"/>
          <w:i w:val="0"/>
          <w:iCs w:val="0"/>
          <w:color w:val="000000" w:themeColor="text1"/>
          <w:sz w:val="22"/>
          <w:szCs w:val="22"/>
          <w:highlight w:val="lightGray"/>
        </w:rPr>
        <w:t>Roundtable participant</w:t>
      </w:r>
    </w:p>
    <w:p w14:paraId="75C2C4F4" w14:textId="1F6DC9BA" w:rsidR="00D23390" w:rsidRPr="00D23390" w:rsidRDefault="00D23390" w:rsidP="00D23390">
      <w:pPr>
        <w:numPr>
          <w:ilvl w:val="0"/>
          <w:numId w:val="1"/>
        </w:numPr>
      </w:pPr>
      <w:r w:rsidRPr="00D23390">
        <w:t xml:space="preserve">Around half </w:t>
      </w:r>
      <w:r w:rsidR="00310767">
        <w:t xml:space="preserve">(52%) </w:t>
      </w:r>
      <w:r w:rsidRPr="00D23390">
        <w:t>of UK researchers now use AI tools in their work, mirroring global adoption levels.</w:t>
      </w:r>
    </w:p>
    <w:p w14:paraId="4C0AB34F" w14:textId="77777777" w:rsidR="00D23390" w:rsidRPr="00D23390" w:rsidRDefault="00D23390" w:rsidP="00D23390">
      <w:pPr>
        <w:numPr>
          <w:ilvl w:val="0"/>
          <w:numId w:val="1"/>
        </w:numPr>
      </w:pPr>
      <w:r w:rsidRPr="00D23390">
        <w:t>Uptake has grown sharply (by over 20 percentage points in a year), but UK researchers are notably more cautious than their international peers.</w:t>
      </w:r>
    </w:p>
    <w:p w14:paraId="518DC27A" w14:textId="77777777" w:rsidR="00D23390" w:rsidRPr="00D23390" w:rsidRDefault="00D23390" w:rsidP="00D23390">
      <w:pPr>
        <w:numPr>
          <w:ilvl w:val="0"/>
          <w:numId w:val="1"/>
        </w:numPr>
      </w:pPr>
      <w:r w:rsidRPr="00D23390">
        <w:t>Confidence is lower in areas such as trustworthiness, ethical development, and governance of AI tools.</w:t>
      </w:r>
    </w:p>
    <w:p w14:paraId="466AA7EC" w14:textId="013A840C" w:rsidR="00D23390" w:rsidRDefault="00D23390" w:rsidP="00D23390">
      <w:pPr>
        <w:numPr>
          <w:ilvl w:val="0"/>
          <w:numId w:val="1"/>
        </w:numPr>
      </w:pPr>
      <w:r w:rsidRPr="00D23390">
        <w:lastRenderedPageBreak/>
        <w:t xml:space="preserve">This caution reflects a culture that </w:t>
      </w:r>
      <w:r w:rsidR="00F43ECC">
        <w:t>focuses on</w:t>
      </w:r>
      <w:r w:rsidRPr="00D23390">
        <w:t xml:space="preserve"> integrity and quality, though it </w:t>
      </w:r>
      <w:r w:rsidR="00DA3C63">
        <w:t>could</w:t>
      </w:r>
      <w:r w:rsidRPr="00D23390">
        <w:t xml:space="preserve"> also slow innovation if not paired with clearer </w:t>
      </w:r>
      <w:r w:rsidR="00DA3C63">
        <w:t>guard rails</w:t>
      </w:r>
      <w:r w:rsidRPr="00D23390">
        <w:t>.</w:t>
      </w:r>
      <w:r w:rsidR="009D612A" w:rsidRPr="009D612A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9D612A" w:rsidRPr="009D612A">
        <w:t>UK researchers are notably more cautious when it comes to trust, ethics, and the role of AI in advancing discovery. According to the report’s findings, around 11% of UK researchers say AI is trustworthy, and only 5% believe AI tools are ethically developed. </w:t>
      </w:r>
    </w:p>
    <w:p w14:paraId="0B67B37B" w14:textId="77777777" w:rsidR="00F60854" w:rsidRPr="00D23390" w:rsidRDefault="00F60854" w:rsidP="00F60854">
      <w:pPr>
        <w:ind w:left="720"/>
      </w:pPr>
    </w:p>
    <w:p w14:paraId="04B8EE44" w14:textId="32FD76CA" w:rsidR="00D23390" w:rsidRPr="00D23390" w:rsidRDefault="00D23390" w:rsidP="00D23390">
      <w:pPr>
        <w:rPr>
          <w:b/>
          <w:bCs/>
        </w:rPr>
      </w:pPr>
      <w:r w:rsidRPr="00D23390">
        <w:rPr>
          <w:b/>
          <w:bCs/>
        </w:rPr>
        <w:t xml:space="preserve">2. AI as a Productivity Tool, </w:t>
      </w:r>
      <w:r w:rsidR="00187A93">
        <w:rPr>
          <w:b/>
          <w:bCs/>
        </w:rPr>
        <w:t>n</w:t>
      </w:r>
      <w:r w:rsidRPr="00D23390">
        <w:rPr>
          <w:b/>
          <w:bCs/>
        </w:rPr>
        <w:t>ot a Creative Partner</w:t>
      </w:r>
    </w:p>
    <w:p w14:paraId="45995EE6" w14:textId="46EA6162" w:rsidR="00D23390" w:rsidRDefault="00D23390" w:rsidP="00D23390">
      <w:pPr>
        <w:numPr>
          <w:ilvl w:val="0"/>
          <w:numId w:val="2"/>
        </w:numPr>
      </w:pPr>
      <w:r w:rsidRPr="00D23390">
        <w:t>AI is widely valued for efficiency gains—for example, data analysis, and automating repetitive processes.</w:t>
      </w:r>
    </w:p>
    <w:p w14:paraId="0AFE12F8" w14:textId="42C57DCD" w:rsidR="009B7658" w:rsidRPr="00D23390" w:rsidRDefault="009B7658" w:rsidP="00D23390">
      <w:pPr>
        <w:numPr>
          <w:ilvl w:val="0"/>
          <w:numId w:val="2"/>
        </w:numPr>
      </w:pPr>
      <w:r>
        <w:t>However, p</w:t>
      </w:r>
      <w:r w:rsidRPr="009B7658">
        <w:t>articipants noted that AI often produces the “obvious answer” quickly, which is useful but may limit deeper or more novel inquiry.</w:t>
      </w:r>
    </w:p>
    <w:p w14:paraId="0476601B" w14:textId="3BAE33B3" w:rsidR="00D23390" w:rsidRPr="00D23390" w:rsidRDefault="009B7658" w:rsidP="00C932DE">
      <w:pPr>
        <w:numPr>
          <w:ilvl w:val="0"/>
          <w:numId w:val="2"/>
        </w:numPr>
      </w:pPr>
      <w:r w:rsidRPr="009B7658">
        <w:t xml:space="preserve">Participants stressed that AI </w:t>
      </w:r>
      <w:proofErr w:type="gramStart"/>
      <w:r w:rsidRPr="009B7658">
        <w:t>can</w:t>
      </w:r>
      <w:proofErr w:type="gramEnd"/>
      <w:r w:rsidRPr="009B7658">
        <w:t xml:space="preserve"> answer questions, but cannot reliably </w:t>
      </w:r>
      <w:r w:rsidRPr="009B7658">
        <w:rPr>
          <w:i/>
          <w:iCs/>
        </w:rPr>
        <w:t>ask the right ones</w:t>
      </w:r>
      <w:r w:rsidRPr="009B7658">
        <w:t>, which is central to scientific breakthroughs.</w:t>
      </w:r>
      <w:r w:rsidR="00C932DE">
        <w:t xml:space="preserve"> </w:t>
      </w:r>
      <w:r w:rsidR="00D23390" w:rsidRPr="00D23390">
        <w:t>Concerns were raised that AI-generated material can appear plausible but lacks originality or true insight, potentially contributing to a homogenisation of research outputs.</w:t>
      </w:r>
    </w:p>
    <w:p w14:paraId="3A820A11" w14:textId="1A2980F7" w:rsidR="008B7FDB" w:rsidRDefault="00D23390" w:rsidP="008B7FDB">
      <w:pPr>
        <w:numPr>
          <w:ilvl w:val="0"/>
          <w:numId w:val="2"/>
        </w:numPr>
      </w:pPr>
      <w:proofErr w:type="gramStart"/>
      <w:r w:rsidRPr="00D23390">
        <w:t>This dynamic risks</w:t>
      </w:r>
      <w:proofErr w:type="gramEnd"/>
      <w:r w:rsidRPr="00D23390">
        <w:t xml:space="preserve"> reinforcing conservative thinking and reducing the diversity of research voices and ideas.</w:t>
      </w:r>
    </w:p>
    <w:p w14:paraId="1A94BE23" w14:textId="77777777" w:rsidR="00F60854" w:rsidRPr="00D23390" w:rsidRDefault="00F60854" w:rsidP="00F60854">
      <w:pPr>
        <w:ind w:left="720"/>
      </w:pPr>
    </w:p>
    <w:p w14:paraId="74BB0E49" w14:textId="77777777" w:rsidR="002333EA" w:rsidRPr="00D23390" w:rsidRDefault="00D23390" w:rsidP="002333EA">
      <w:pPr>
        <w:rPr>
          <w:b/>
          <w:bCs/>
        </w:rPr>
      </w:pPr>
      <w:r w:rsidRPr="00D23390">
        <w:rPr>
          <w:b/>
          <w:bCs/>
        </w:rPr>
        <w:t xml:space="preserve">3. </w:t>
      </w:r>
      <w:r w:rsidR="002333EA" w:rsidRPr="00D23390">
        <w:rPr>
          <w:b/>
          <w:bCs/>
        </w:rPr>
        <w:t>UK Caution as a Possible Competitive Strength</w:t>
      </w:r>
    </w:p>
    <w:p w14:paraId="471FFFD4" w14:textId="77777777" w:rsidR="002333EA" w:rsidRPr="00D23390" w:rsidRDefault="002333EA" w:rsidP="002333EA">
      <w:pPr>
        <w:numPr>
          <w:ilvl w:val="0"/>
          <w:numId w:val="6"/>
        </w:numPr>
      </w:pPr>
      <w:r w:rsidRPr="00D23390">
        <w:t>Several voices argued that the UK’s careful, ethics-led approach could become a distinctive advantage internationally, positioning it as a hub for high-integrity, quality-focused research.</w:t>
      </w:r>
    </w:p>
    <w:p w14:paraId="31A644DA" w14:textId="77777777" w:rsidR="002333EA" w:rsidRPr="00D23390" w:rsidRDefault="002333EA" w:rsidP="002333EA">
      <w:pPr>
        <w:numPr>
          <w:ilvl w:val="0"/>
          <w:numId w:val="6"/>
        </w:numPr>
      </w:pPr>
      <w:r w:rsidRPr="00D23390">
        <w:t>Rather than chasing scale and speed, the UK could emphasise “responsible excellence”—balancing innovation with rigorous oversight.</w:t>
      </w:r>
    </w:p>
    <w:p w14:paraId="52AC3B0E" w14:textId="77777777" w:rsidR="002333EA" w:rsidRDefault="002333EA" w:rsidP="002333EA">
      <w:pPr>
        <w:numPr>
          <w:ilvl w:val="0"/>
          <w:numId w:val="6"/>
        </w:numPr>
      </w:pPr>
      <w:r w:rsidRPr="00D23390">
        <w:t>Achieving this will require sustained investment in skills development, data quality, and public trust in research.</w:t>
      </w:r>
    </w:p>
    <w:p w14:paraId="0533B621" w14:textId="77777777" w:rsidR="00F60854" w:rsidRPr="00D23390" w:rsidRDefault="00F60854" w:rsidP="00F60854">
      <w:pPr>
        <w:ind w:left="720"/>
      </w:pPr>
    </w:p>
    <w:p w14:paraId="7424707F" w14:textId="40D09238" w:rsidR="00D23390" w:rsidRPr="00D23390" w:rsidRDefault="002333EA" w:rsidP="00D23390">
      <w:pPr>
        <w:rPr>
          <w:b/>
          <w:bCs/>
        </w:rPr>
      </w:pPr>
      <w:r>
        <w:rPr>
          <w:b/>
          <w:bCs/>
        </w:rPr>
        <w:t xml:space="preserve">4. </w:t>
      </w:r>
      <w:r w:rsidR="00083E4A">
        <w:rPr>
          <w:b/>
          <w:bCs/>
        </w:rPr>
        <w:t xml:space="preserve">The ‘Assessment Gap’ - </w:t>
      </w:r>
      <w:r w:rsidR="00D23390" w:rsidRPr="00D23390">
        <w:rPr>
          <w:b/>
          <w:bCs/>
        </w:rPr>
        <w:t>Support, and Governance</w:t>
      </w:r>
    </w:p>
    <w:p w14:paraId="34FCB0B3" w14:textId="77777777" w:rsidR="00D23390" w:rsidRPr="00D23390" w:rsidRDefault="00D23390" w:rsidP="00D23390">
      <w:pPr>
        <w:numPr>
          <w:ilvl w:val="0"/>
          <w:numId w:val="3"/>
        </w:numPr>
      </w:pPr>
      <w:r w:rsidRPr="00D23390">
        <w:t xml:space="preserve">A recurring theme was the absence of structured institutional support for researchers using AI. </w:t>
      </w:r>
    </w:p>
    <w:p w14:paraId="4F791AF4" w14:textId="32F30261" w:rsidR="00387C82" w:rsidRDefault="00387C82" w:rsidP="00D23390">
      <w:pPr>
        <w:numPr>
          <w:ilvl w:val="1"/>
          <w:numId w:val="3"/>
        </w:numPr>
      </w:pPr>
      <w:r w:rsidRPr="00387C82">
        <w:t>There is a growing “assessment gap”, where AI use is disclosed but evaluators lack the capability to judge it effectively</w:t>
      </w:r>
      <w:r>
        <w:t>.</w:t>
      </w:r>
    </w:p>
    <w:p w14:paraId="5D13808B" w14:textId="0B28B54E" w:rsidR="00D23390" w:rsidRPr="00D23390" w:rsidRDefault="00D23390" w:rsidP="00D23390">
      <w:pPr>
        <w:numPr>
          <w:ilvl w:val="1"/>
          <w:numId w:val="3"/>
        </w:numPr>
      </w:pPr>
      <w:r w:rsidRPr="00D23390">
        <w:lastRenderedPageBreak/>
        <w:t>Only 13% of UK researchers report receiving sufficient training in AI tools—</w:t>
      </w:r>
      <w:r w:rsidR="000C76DA">
        <w:t>much lower than the</w:t>
      </w:r>
      <w:r w:rsidRPr="00D23390">
        <w:t xml:space="preserve"> global average</w:t>
      </w:r>
      <w:r w:rsidR="00387C82">
        <w:t xml:space="preserve"> which stands at 27%</w:t>
      </w:r>
      <w:r w:rsidRPr="00D23390">
        <w:t>.</w:t>
      </w:r>
    </w:p>
    <w:p w14:paraId="50373334" w14:textId="77777777" w:rsidR="00D23390" w:rsidRDefault="00D23390" w:rsidP="00D23390">
      <w:pPr>
        <w:numPr>
          <w:ilvl w:val="1"/>
          <w:numId w:val="3"/>
        </w:numPr>
      </w:pPr>
      <w:r w:rsidRPr="00D23390">
        <w:t>Governance arrangements and guidance remain inconsistent across institutions.</w:t>
      </w:r>
    </w:p>
    <w:p w14:paraId="5247D4EB" w14:textId="5B0BACDE" w:rsidR="00083E4A" w:rsidRPr="00D23390" w:rsidRDefault="00083E4A" w:rsidP="00D23390">
      <w:pPr>
        <w:numPr>
          <w:ilvl w:val="1"/>
          <w:numId w:val="3"/>
        </w:numPr>
      </w:pPr>
      <w:r>
        <w:t>R</w:t>
      </w:r>
      <w:r w:rsidRPr="00083E4A">
        <w:t>esearchers are not just under-</w:t>
      </w:r>
      <w:r w:rsidR="000471A7" w:rsidRPr="00083E4A">
        <w:t>trained;</w:t>
      </w:r>
      <w:r w:rsidRPr="00083E4A">
        <w:t xml:space="preserve"> they are concerned about retrospective accountability (being judged later for current AI use)</w:t>
      </w:r>
    </w:p>
    <w:p w14:paraId="70B44281" w14:textId="77777777" w:rsidR="00D23390" w:rsidRPr="00D23390" w:rsidRDefault="00D23390" w:rsidP="00D23390">
      <w:pPr>
        <w:numPr>
          <w:ilvl w:val="0"/>
          <w:numId w:val="3"/>
        </w:numPr>
      </w:pPr>
      <w:r w:rsidRPr="00D23390">
        <w:t>Many researchers are learning through experimentation, leaving them uncertain about ethical boundaries, data management, and disclosure expectations.</w:t>
      </w:r>
    </w:p>
    <w:p w14:paraId="6DAE4D3A" w14:textId="77777777" w:rsidR="00F979ED" w:rsidRPr="00F979ED" w:rsidRDefault="00D23390" w:rsidP="00D23390">
      <w:pPr>
        <w:numPr>
          <w:ilvl w:val="0"/>
          <w:numId w:val="3"/>
        </w:numPr>
        <w:rPr>
          <w:b/>
          <w:bCs/>
        </w:rPr>
      </w:pPr>
      <w:r w:rsidRPr="00D23390">
        <w:t xml:space="preserve">Participants called </w:t>
      </w:r>
      <w:r w:rsidR="00F979ED" w:rsidRPr="00F979ED">
        <w:t>for centralised, cross-institutional guidance rather than fragmented local policies.</w:t>
      </w:r>
    </w:p>
    <w:p w14:paraId="69C4133E" w14:textId="77777777" w:rsidR="00F979ED" w:rsidRDefault="00F979ED" w:rsidP="00F979ED">
      <w:pPr>
        <w:ind w:left="360"/>
      </w:pPr>
    </w:p>
    <w:p w14:paraId="12B6B09D" w14:textId="29E32E55" w:rsidR="00D23390" w:rsidRPr="00F979ED" w:rsidRDefault="005C54BF" w:rsidP="005C54BF">
      <w:pPr>
        <w:rPr>
          <w:b/>
          <w:bCs/>
        </w:rPr>
      </w:pPr>
      <w:r>
        <w:rPr>
          <w:b/>
          <w:bCs/>
        </w:rPr>
        <w:t>5</w:t>
      </w:r>
      <w:r w:rsidR="00D23390" w:rsidRPr="00F979ED">
        <w:rPr>
          <w:b/>
          <w:bCs/>
        </w:rPr>
        <w:t>. Systemic Pressures and Incentive Structures</w:t>
      </w:r>
    </w:p>
    <w:p w14:paraId="05A22BA4" w14:textId="5AEC1991" w:rsidR="00D23390" w:rsidRPr="00D23390" w:rsidRDefault="00D23390" w:rsidP="00D23390">
      <w:pPr>
        <w:numPr>
          <w:ilvl w:val="0"/>
          <w:numId w:val="4"/>
        </w:numPr>
      </w:pPr>
      <w:r w:rsidRPr="00D23390">
        <w:t>Broader research system challenges—funding constraints, shrinking time for research, and incentives that reward volume and polish—shape how AI is being used.</w:t>
      </w:r>
      <w:r w:rsidR="00B91DF0">
        <w:t xml:space="preserve"> </w:t>
      </w:r>
      <w:r w:rsidR="00B91DF0" w:rsidRPr="00B91DF0">
        <w:t>This creates a system-level challenge, not just an individual behaviour issue, requiring redesign of evaluation processes</w:t>
      </w:r>
      <w:r w:rsidR="0014321A">
        <w:t>.</w:t>
      </w:r>
    </w:p>
    <w:p w14:paraId="3970D353" w14:textId="616928F5" w:rsidR="00D23390" w:rsidRPr="00D23390" w:rsidRDefault="00F979ED" w:rsidP="00D23390">
      <w:pPr>
        <w:numPr>
          <w:ilvl w:val="0"/>
          <w:numId w:val="4"/>
        </w:numPr>
      </w:pPr>
      <w:r w:rsidRPr="00F979ED">
        <w:t xml:space="preserve">Funders are already seeing sharp increases in application volumes, likely driven by AI-assisted proposal writing. </w:t>
      </w:r>
      <w:r w:rsidR="00D23390" w:rsidRPr="00D23390">
        <w:t>AI enabl</w:t>
      </w:r>
      <w:r w:rsidR="00B91DF0">
        <w:t>es</w:t>
      </w:r>
      <w:r w:rsidR="00D23390" w:rsidRPr="00D23390">
        <w:t xml:space="preserve"> higher throughput of proposals and publications, potentially making it harder to identify high-quality, original research.</w:t>
      </w:r>
    </w:p>
    <w:p w14:paraId="3867D917" w14:textId="77777777" w:rsidR="00D23390" w:rsidRPr="00D23390" w:rsidRDefault="00D23390" w:rsidP="00D23390">
      <w:pPr>
        <w:numPr>
          <w:ilvl w:val="0"/>
          <w:numId w:val="4"/>
        </w:numPr>
      </w:pPr>
      <w:r w:rsidRPr="00D23390">
        <w:t>Participants warned that this could lead to an oversupply of “well-written” work with limited novelty, while genuine breakthroughs risk being crowded out.</w:t>
      </w:r>
    </w:p>
    <w:p w14:paraId="03001B34" w14:textId="2DD3831B" w:rsidR="00D23390" w:rsidRPr="00D23390" w:rsidRDefault="005C54BF" w:rsidP="00D23390">
      <w:pPr>
        <w:rPr>
          <w:b/>
          <w:bCs/>
        </w:rPr>
      </w:pPr>
      <w:r>
        <w:rPr>
          <w:b/>
          <w:bCs/>
        </w:rPr>
        <w:t>6</w:t>
      </w:r>
      <w:r w:rsidR="00D23390" w:rsidRPr="00D23390">
        <w:rPr>
          <w:b/>
          <w:bCs/>
        </w:rPr>
        <w:t>. Trust, Integrity, and Data Bias</w:t>
      </w:r>
    </w:p>
    <w:p w14:paraId="3620572F" w14:textId="77777777" w:rsidR="00D23390" w:rsidRPr="00D23390" w:rsidRDefault="00D23390" w:rsidP="00D23390">
      <w:pPr>
        <w:numPr>
          <w:ilvl w:val="0"/>
          <w:numId w:val="5"/>
        </w:numPr>
      </w:pPr>
      <w:r w:rsidRPr="00D23390">
        <w:t xml:space="preserve">Trust and research integrity were central concerns. </w:t>
      </w:r>
    </w:p>
    <w:p w14:paraId="11BD6FE2" w14:textId="77777777" w:rsidR="00D23390" w:rsidRPr="00D23390" w:rsidRDefault="00D23390" w:rsidP="00D23390">
      <w:pPr>
        <w:numPr>
          <w:ilvl w:val="1"/>
          <w:numId w:val="5"/>
        </w:numPr>
      </w:pPr>
      <w:r w:rsidRPr="00D23390">
        <w:t>Participants noted risks from biased or incomplete datasets, opaque AI models, and unverified outputs.</w:t>
      </w:r>
    </w:p>
    <w:p w14:paraId="2B79F85C" w14:textId="77777777" w:rsidR="00D23390" w:rsidRPr="00D23390" w:rsidRDefault="00D23390" w:rsidP="00D23390">
      <w:pPr>
        <w:numPr>
          <w:ilvl w:val="1"/>
          <w:numId w:val="5"/>
        </w:numPr>
      </w:pPr>
      <w:r w:rsidRPr="00D23390">
        <w:t>There were calls for transparency about how AI is used in research design, data analysis, and writing.</w:t>
      </w:r>
    </w:p>
    <w:p w14:paraId="0139B14D" w14:textId="77777777" w:rsidR="00D23390" w:rsidRPr="00D23390" w:rsidRDefault="00D23390" w:rsidP="00D23390">
      <w:pPr>
        <w:numPr>
          <w:ilvl w:val="0"/>
          <w:numId w:val="5"/>
        </w:numPr>
      </w:pPr>
      <w:r w:rsidRPr="00D23390">
        <w:t>Discussion emphasised the need to differentiate between types of AI—ranging from assistive tools to autonomous systems—with distinct ethical and governance implications.</w:t>
      </w:r>
    </w:p>
    <w:p w14:paraId="1D537C37" w14:textId="27A39BF2" w:rsidR="00D23390" w:rsidRPr="00D23390" w:rsidRDefault="0059319B" w:rsidP="00D23390">
      <w:pPr>
        <w:numPr>
          <w:ilvl w:val="0"/>
          <w:numId w:val="5"/>
        </w:numPr>
      </w:pPr>
      <w:r w:rsidRPr="0059319B">
        <w:t xml:space="preserve">Real-world risks already visible (e.g. biased health outcomes from unrepresentative datasets). </w:t>
      </w:r>
      <w:r w:rsidR="00D23390" w:rsidRPr="00D23390">
        <w:t xml:space="preserve">Greater openness about negative or null results was </w:t>
      </w:r>
      <w:r w:rsidR="00D23390" w:rsidRPr="00D23390">
        <w:lastRenderedPageBreak/>
        <w:t>viewed as important to counteract publication bias and strengthen research credibility.</w:t>
      </w:r>
    </w:p>
    <w:p w14:paraId="28E49470" w14:textId="64119948" w:rsidR="00D23390" w:rsidRPr="00D23390" w:rsidRDefault="00D23390" w:rsidP="00D23390">
      <w:pPr>
        <w:rPr>
          <w:b/>
          <w:bCs/>
        </w:rPr>
      </w:pPr>
      <w:r w:rsidRPr="00D23390">
        <w:rPr>
          <w:b/>
          <w:bCs/>
        </w:rPr>
        <w:t>7. Training, Skills, and the Role of Support Services</w:t>
      </w:r>
      <w:r w:rsidR="000F451E">
        <w:rPr>
          <w:b/>
          <w:bCs/>
        </w:rPr>
        <w:t xml:space="preserve"> such as Libraries</w:t>
      </w:r>
    </w:p>
    <w:p w14:paraId="641F4E53" w14:textId="77777777" w:rsidR="00D23390" w:rsidRDefault="00D23390" w:rsidP="00D23390">
      <w:pPr>
        <w:numPr>
          <w:ilvl w:val="0"/>
          <w:numId w:val="7"/>
        </w:numPr>
      </w:pPr>
      <w:r w:rsidRPr="00D23390">
        <w:t>Training emerged as a top priority, extending beyond students to faculty, supervisors, and research professionals.</w:t>
      </w:r>
    </w:p>
    <w:p w14:paraId="5C3C21A3" w14:textId="74D61A9D" w:rsidR="005C54BF" w:rsidRPr="00D23390" w:rsidRDefault="005C54BF" w:rsidP="00D23390">
      <w:pPr>
        <w:numPr>
          <w:ilvl w:val="0"/>
          <w:numId w:val="7"/>
        </w:numPr>
      </w:pPr>
      <w:r w:rsidRPr="005C54BF">
        <w:t>Concern that overuse of AI (e.g. for literature reviews) may undermine researcher development, especially for early-career researchers</w:t>
      </w:r>
      <w:r>
        <w:t>.</w:t>
      </w:r>
    </w:p>
    <w:p w14:paraId="200CA47D" w14:textId="0AAFCDD0" w:rsidR="00D23390" w:rsidRPr="00D23390" w:rsidRDefault="00D23390" w:rsidP="00D23390">
      <w:pPr>
        <w:numPr>
          <w:ilvl w:val="0"/>
          <w:numId w:val="7"/>
        </w:numPr>
      </w:pPr>
      <w:r w:rsidRPr="00D23390">
        <w:t xml:space="preserve">Participants saw libraries and research support offices as </w:t>
      </w:r>
      <w:r w:rsidR="005C54BF">
        <w:t>critical infrastructure for research literacy and</w:t>
      </w:r>
      <w:r w:rsidRPr="00D23390">
        <w:t xml:space="preserve"> expertise for critical thinking, ethical use, and data governance.</w:t>
      </w:r>
    </w:p>
    <w:p w14:paraId="200F1D30" w14:textId="77777777" w:rsidR="00D23390" w:rsidRPr="00D23390" w:rsidRDefault="00D23390" w:rsidP="00D23390">
      <w:pPr>
        <w:numPr>
          <w:ilvl w:val="0"/>
          <w:numId w:val="7"/>
        </w:numPr>
      </w:pPr>
      <w:r w:rsidRPr="00D23390">
        <w:t>The goal is to enable researchers to use AI thoughtfully—to prompt deeper analysis and reflection, not replace it.</w:t>
      </w:r>
    </w:p>
    <w:p w14:paraId="7EDF82BD" w14:textId="77777777" w:rsidR="00D23390" w:rsidRPr="00D23390" w:rsidRDefault="00D23390" w:rsidP="00D23390">
      <w:pPr>
        <w:rPr>
          <w:b/>
          <w:bCs/>
        </w:rPr>
      </w:pPr>
      <w:r w:rsidRPr="00D23390">
        <w:rPr>
          <w:b/>
          <w:bCs/>
        </w:rPr>
        <w:t>8. Towards Action and Policy</w:t>
      </w:r>
    </w:p>
    <w:p w14:paraId="5FA797BA" w14:textId="77777777" w:rsidR="00D23390" w:rsidRPr="00D23390" w:rsidRDefault="00D23390" w:rsidP="00D23390">
      <w:pPr>
        <w:numPr>
          <w:ilvl w:val="0"/>
          <w:numId w:val="8"/>
        </w:numPr>
      </w:pPr>
      <w:r w:rsidRPr="00D23390">
        <w:t>The roundtable concluded with a shared sense of urgency to move from uncertainty to clear cross-sector principles.</w:t>
      </w:r>
    </w:p>
    <w:p w14:paraId="3B749935" w14:textId="77777777" w:rsidR="00D23390" w:rsidRPr="00D23390" w:rsidRDefault="00D23390" w:rsidP="00D23390">
      <w:pPr>
        <w:numPr>
          <w:ilvl w:val="0"/>
          <w:numId w:val="8"/>
        </w:numPr>
      </w:pPr>
      <w:r w:rsidRPr="00D23390">
        <w:t xml:space="preserve">Recommended areas for action included: </w:t>
      </w:r>
    </w:p>
    <w:p w14:paraId="3AF70727" w14:textId="77777777" w:rsidR="00DF68FC" w:rsidRDefault="000F451E" w:rsidP="00D23390">
      <w:pPr>
        <w:numPr>
          <w:ilvl w:val="1"/>
          <w:numId w:val="8"/>
        </w:numPr>
      </w:pPr>
      <w:r w:rsidRPr="000F451E">
        <w:t xml:space="preserve">Need for flexible frameworks that evolve with technology, rather than static regulation. </w:t>
      </w:r>
    </w:p>
    <w:p w14:paraId="6EE01151" w14:textId="59FC312A" w:rsidR="00D23390" w:rsidRPr="00D23390" w:rsidRDefault="00D23390" w:rsidP="00D23390">
      <w:pPr>
        <w:numPr>
          <w:ilvl w:val="1"/>
          <w:numId w:val="8"/>
        </w:numPr>
      </w:pPr>
      <w:r w:rsidRPr="00D23390">
        <w:t>Integrating training on AI ethics and data management at all career stages.</w:t>
      </w:r>
    </w:p>
    <w:p w14:paraId="250536A2" w14:textId="77777777" w:rsidR="00D23390" w:rsidRPr="00D23390" w:rsidRDefault="00D23390" w:rsidP="00D23390">
      <w:pPr>
        <w:numPr>
          <w:ilvl w:val="1"/>
          <w:numId w:val="8"/>
        </w:numPr>
      </w:pPr>
      <w:r w:rsidRPr="00D23390">
        <w:t>Creating mechanisms for sharing negative findings and improving data transparency.</w:t>
      </w:r>
    </w:p>
    <w:p w14:paraId="540DA61D" w14:textId="77777777" w:rsidR="00D23390" w:rsidRPr="00D23390" w:rsidRDefault="00D23390" w:rsidP="00D23390">
      <w:pPr>
        <w:numPr>
          <w:ilvl w:val="1"/>
          <w:numId w:val="8"/>
        </w:numPr>
      </w:pPr>
      <w:r w:rsidRPr="00D23390">
        <w:t>Encouraging collaboration across academia, funders, and publishers to ensure consistent standards.</w:t>
      </w:r>
    </w:p>
    <w:p w14:paraId="2AAA8865" w14:textId="77777777" w:rsidR="00D23390" w:rsidRDefault="00D23390" w:rsidP="00D23390">
      <w:pPr>
        <w:numPr>
          <w:ilvl w:val="1"/>
          <w:numId w:val="8"/>
        </w:numPr>
      </w:pPr>
      <w:r w:rsidRPr="00D23390">
        <w:t>Supporting research on AI’s social, cultural, and ethical impacts alongside technical developments.</w:t>
      </w:r>
    </w:p>
    <w:p w14:paraId="292DDEFC" w14:textId="1C244E8B" w:rsidR="00694B4F" w:rsidRDefault="00694B4F" w:rsidP="00694B4F">
      <w:r>
        <w:rPr>
          <w:noProof/>
        </w:rPr>
        <w:lastRenderedPageBreak/>
        <w:drawing>
          <wp:inline distT="0" distB="0" distL="0" distR="0" wp14:anchorId="2FBE4E9E" wp14:editId="3B574732">
            <wp:extent cx="4312920" cy="2426913"/>
            <wp:effectExtent l="0" t="0" r="0" b="0"/>
            <wp:docPr id="3181039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91" cy="24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0005" w14:textId="77777777" w:rsidR="00696B26" w:rsidRDefault="00696B26" w:rsidP="00694B4F"/>
    <w:p w14:paraId="5D81AE73" w14:textId="77777777" w:rsidR="00696B26" w:rsidRPr="00696B26" w:rsidRDefault="00696B26" w:rsidP="00696B26">
      <w:pPr>
        <w:rPr>
          <w:b/>
          <w:bCs/>
        </w:rPr>
      </w:pPr>
      <w:r w:rsidRPr="00696B26">
        <w:rPr>
          <w:b/>
          <w:bCs/>
        </w:rPr>
        <w:t>9. AI is not a single category</w:t>
      </w:r>
    </w:p>
    <w:p w14:paraId="530E47DF" w14:textId="77777777" w:rsidR="00696B26" w:rsidRPr="00696B26" w:rsidRDefault="00696B26" w:rsidP="00696B26">
      <w:pPr>
        <w:numPr>
          <w:ilvl w:val="0"/>
          <w:numId w:val="13"/>
        </w:numPr>
      </w:pPr>
      <w:r w:rsidRPr="00696B26">
        <w:t xml:space="preserve">Participants repeatedly stressed that AI includes very different tools and capabilities </w:t>
      </w:r>
    </w:p>
    <w:p w14:paraId="65E81000" w14:textId="77777777" w:rsidR="00696B26" w:rsidRPr="00696B26" w:rsidRDefault="00696B26" w:rsidP="00696B26">
      <w:pPr>
        <w:numPr>
          <w:ilvl w:val="0"/>
          <w:numId w:val="13"/>
        </w:numPr>
      </w:pPr>
      <w:r w:rsidRPr="00696B26">
        <w:t xml:space="preserve">Policy and governance should be use-case specific, not one-size-fits-all </w:t>
      </w:r>
    </w:p>
    <w:p w14:paraId="24EA71A2" w14:textId="7A72F91A" w:rsidR="001F2BEF" w:rsidRDefault="00696B26" w:rsidP="00694B4F">
      <w:pPr>
        <w:numPr>
          <w:ilvl w:val="0"/>
          <w:numId w:val="13"/>
        </w:numPr>
      </w:pPr>
      <w:r w:rsidRPr="00696B26">
        <w:t>Potential need for tool accreditation or trust markers</w:t>
      </w:r>
    </w:p>
    <w:p w14:paraId="40EB3242" w14:textId="77777777" w:rsidR="002F28AA" w:rsidRDefault="002F28AA" w:rsidP="002F28AA">
      <w:pPr>
        <w:ind w:left="720"/>
      </w:pPr>
    </w:p>
    <w:p w14:paraId="739D7508" w14:textId="50F9CE38" w:rsidR="002F28AA" w:rsidRPr="002F28AA" w:rsidRDefault="002F28AA" w:rsidP="002F28AA">
      <w:pPr>
        <w:rPr>
          <w:b/>
          <w:bCs/>
        </w:rPr>
      </w:pPr>
      <w:r w:rsidRPr="002F28AA">
        <w:rPr>
          <w:b/>
          <w:bCs/>
        </w:rPr>
        <w:t>1</w:t>
      </w:r>
      <w:r>
        <w:rPr>
          <w:b/>
          <w:bCs/>
        </w:rPr>
        <w:t>0</w:t>
      </w:r>
      <w:r w:rsidRPr="002F28AA">
        <w:rPr>
          <w:b/>
          <w:bCs/>
        </w:rPr>
        <w:t>. Rethinking productivity in research</w:t>
      </w:r>
    </w:p>
    <w:p w14:paraId="7A9FB90D" w14:textId="77777777" w:rsidR="002F28AA" w:rsidRPr="002F28AA" w:rsidRDefault="002F28AA" w:rsidP="002F28AA">
      <w:pPr>
        <w:numPr>
          <w:ilvl w:val="0"/>
          <w:numId w:val="14"/>
        </w:numPr>
      </w:pPr>
      <w:r w:rsidRPr="002F28AA">
        <w:t xml:space="preserve">Strong challenge to the idea that more output equals better science </w:t>
      </w:r>
    </w:p>
    <w:p w14:paraId="5C8B1F62" w14:textId="77777777" w:rsidR="002F28AA" w:rsidRPr="002F28AA" w:rsidRDefault="002F28AA" w:rsidP="002F28AA">
      <w:pPr>
        <w:numPr>
          <w:ilvl w:val="0"/>
          <w:numId w:val="14"/>
        </w:numPr>
      </w:pPr>
      <w:r w:rsidRPr="002F28AA">
        <w:t xml:space="preserve">Need to redefine productivity beyond volume and funding capture </w:t>
      </w:r>
    </w:p>
    <w:p w14:paraId="603FCF96" w14:textId="77777777" w:rsidR="002F28AA" w:rsidRPr="002F28AA" w:rsidRDefault="002F28AA" w:rsidP="002F28AA">
      <w:pPr>
        <w:numPr>
          <w:ilvl w:val="0"/>
          <w:numId w:val="14"/>
        </w:numPr>
      </w:pPr>
      <w:r w:rsidRPr="002F28AA">
        <w:t>Risk of losing intellectual diversity and distinctive research voices</w:t>
      </w:r>
    </w:p>
    <w:p w14:paraId="627E94DC" w14:textId="77777777" w:rsidR="002F28AA" w:rsidRDefault="002F28AA" w:rsidP="00694B4F"/>
    <w:p w14:paraId="6B3F46B5" w14:textId="77777777" w:rsidR="00D23390" w:rsidRDefault="00D23390" w:rsidP="00D23390">
      <w:pPr>
        <w:rPr>
          <w:b/>
          <w:bCs/>
        </w:rPr>
      </w:pPr>
      <w:r w:rsidRPr="00D23390">
        <w:rPr>
          <w:b/>
          <w:bCs/>
        </w:rPr>
        <w:t>Conclusion</w:t>
      </w:r>
    </w:p>
    <w:p w14:paraId="04614032" w14:textId="11B89815" w:rsidR="005008F4" w:rsidRPr="00D23390" w:rsidRDefault="005008F4" w:rsidP="00D23390">
      <w:pPr>
        <w:rPr>
          <w:b/>
          <w:bCs/>
        </w:rPr>
      </w:pPr>
      <w:r w:rsidRPr="005008F4">
        <w:rPr>
          <w:b/>
          <w:bCs/>
        </w:rPr>
        <w:t>Researchers do not want AI to replace thinking, but to create more space for it.</w:t>
      </w:r>
    </w:p>
    <w:p w14:paraId="75887A8C" w14:textId="04A024DC" w:rsidR="00D23390" w:rsidRPr="00D23390" w:rsidRDefault="00D23390" w:rsidP="00D23390">
      <w:r w:rsidRPr="00D23390">
        <w:t>The discussion reflected both optimism and unease about AI’s growing role in research. UK researchers are adopting AI at pace but remain cautious—an attitude that could become a strength if it leads to robust, trustworthy, and creative science.</w:t>
      </w:r>
    </w:p>
    <w:p w14:paraId="0FD2432D" w14:textId="77777777" w:rsidR="00D23390" w:rsidRPr="00D23390" w:rsidRDefault="00D23390" w:rsidP="00D23390">
      <w:r w:rsidRPr="00D23390">
        <w:t>The path ahead will depend less on promoting AI adoption and more on building competence, confidence, and clarity: ensuring that tools accelerate high-quality research without eroding the values and rigour that underpin the UK’s scientific reputation.</w:t>
      </w:r>
    </w:p>
    <w:p w14:paraId="30B0BA51" w14:textId="77777777" w:rsidR="007E54C4" w:rsidRPr="00D23390" w:rsidRDefault="007E54C4" w:rsidP="00D23390"/>
    <w:sectPr w:rsidR="007E54C4" w:rsidRPr="00D23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0CCF"/>
    <w:multiLevelType w:val="multilevel"/>
    <w:tmpl w:val="349C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1218E"/>
    <w:multiLevelType w:val="multilevel"/>
    <w:tmpl w:val="F32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708B"/>
    <w:multiLevelType w:val="multilevel"/>
    <w:tmpl w:val="B1F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E5870"/>
    <w:multiLevelType w:val="multilevel"/>
    <w:tmpl w:val="0958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B3C9A"/>
    <w:multiLevelType w:val="hybridMultilevel"/>
    <w:tmpl w:val="6438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52D42"/>
    <w:multiLevelType w:val="multilevel"/>
    <w:tmpl w:val="E9F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14DDE"/>
    <w:multiLevelType w:val="hybridMultilevel"/>
    <w:tmpl w:val="EC48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4336"/>
    <w:multiLevelType w:val="multilevel"/>
    <w:tmpl w:val="832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AF37E4"/>
    <w:multiLevelType w:val="hybridMultilevel"/>
    <w:tmpl w:val="D234B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909B2"/>
    <w:multiLevelType w:val="multilevel"/>
    <w:tmpl w:val="513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F53F8"/>
    <w:multiLevelType w:val="hybridMultilevel"/>
    <w:tmpl w:val="44F49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43422"/>
    <w:multiLevelType w:val="multilevel"/>
    <w:tmpl w:val="868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16597"/>
    <w:multiLevelType w:val="multilevel"/>
    <w:tmpl w:val="5EA6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746E3"/>
    <w:multiLevelType w:val="multilevel"/>
    <w:tmpl w:val="8796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15498"/>
    <w:multiLevelType w:val="hybridMultilevel"/>
    <w:tmpl w:val="46B85E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91792">
    <w:abstractNumId w:val="2"/>
  </w:num>
  <w:num w:numId="2" w16cid:durableId="2056076790">
    <w:abstractNumId w:val="11"/>
  </w:num>
  <w:num w:numId="3" w16cid:durableId="1507401884">
    <w:abstractNumId w:val="1"/>
  </w:num>
  <w:num w:numId="4" w16cid:durableId="23288943">
    <w:abstractNumId w:val="3"/>
  </w:num>
  <w:num w:numId="5" w16cid:durableId="821310276">
    <w:abstractNumId w:val="7"/>
  </w:num>
  <w:num w:numId="6" w16cid:durableId="2081630032">
    <w:abstractNumId w:val="13"/>
  </w:num>
  <w:num w:numId="7" w16cid:durableId="1850677888">
    <w:abstractNumId w:val="5"/>
  </w:num>
  <w:num w:numId="8" w16cid:durableId="1497723393">
    <w:abstractNumId w:val="9"/>
  </w:num>
  <w:num w:numId="9" w16cid:durableId="1405906783">
    <w:abstractNumId w:val="10"/>
  </w:num>
  <w:num w:numId="10" w16cid:durableId="766923676">
    <w:abstractNumId w:val="8"/>
  </w:num>
  <w:num w:numId="11" w16cid:durableId="222953576">
    <w:abstractNumId w:val="6"/>
  </w:num>
  <w:num w:numId="12" w16cid:durableId="1107120498">
    <w:abstractNumId w:val="4"/>
  </w:num>
  <w:num w:numId="13" w16cid:durableId="1739398359">
    <w:abstractNumId w:val="0"/>
  </w:num>
  <w:num w:numId="14" w16cid:durableId="485248289">
    <w:abstractNumId w:val="12"/>
  </w:num>
  <w:num w:numId="15" w16cid:durableId="1094593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90"/>
    <w:rsid w:val="000407E7"/>
    <w:rsid w:val="000471A7"/>
    <w:rsid w:val="00064845"/>
    <w:rsid w:val="00083E4A"/>
    <w:rsid w:val="000A4739"/>
    <w:rsid w:val="000C76DA"/>
    <w:rsid w:val="000E5839"/>
    <w:rsid w:val="000F451E"/>
    <w:rsid w:val="0014321A"/>
    <w:rsid w:val="001701E6"/>
    <w:rsid w:val="001858A5"/>
    <w:rsid w:val="00187A93"/>
    <w:rsid w:val="001B3B53"/>
    <w:rsid w:val="001B4E3F"/>
    <w:rsid w:val="001D75A9"/>
    <w:rsid w:val="001F2BEF"/>
    <w:rsid w:val="002333EA"/>
    <w:rsid w:val="002845C1"/>
    <w:rsid w:val="002D0B8E"/>
    <w:rsid w:val="002E6F68"/>
    <w:rsid w:val="002F28AA"/>
    <w:rsid w:val="00310767"/>
    <w:rsid w:val="00387C82"/>
    <w:rsid w:val="003A27D8"/>
    <w:rsid w:val="003E2DCC"/>
    <w:rsid w:val="00452EBF"/>
    <w:rsid w:val="00472330"/>
    <w:rsid w:val="005008F4"/>
    <w:rsid w:val="00501AA5"/>
    <w:rsid w:val="005308BD"/>
    <w:rsid w:val="005743C2"/>
    <w:rsid w:val="0059319B"/>
    <w:rsid w:val="005C3B99"/>
    <w:rsid w:val="005C54BF"/>
    <w:rsid w:val="005E1E04"/>
    <w:rsid w:val="006230B2"/>
    <w:rsid w:val="00637188"/>
    <w:rsid w:val="00690D4B"/>
    <w:rsid w:val="00694B4F"/>
    <w:rsid w:val="00696B26"/>
    <w:rsid w:val="00755AB6"/>
    <w:rsid w:val="007D6457"/>
    <w:rsid w:val="007E54C4"/>
    <w:rsid w:val="008053CC"/>
    <w:rsid w:val="008151BD"/>
    <w:rsid w:val="008B4942"/>
    <w:rsid w:val="008B7FDB"/>
    <w:rsid w:val="00943B03"/>
    <w:rsid w:val="0097206E"/>
    <w:rsid w:val="009A7506"/>
    <w:rsid w:val="009B7658"/>
    <w:rsid w:val="009D612A"/>
    <w:rsid w:val="00A77E55"/>
    <w:rsid w:val="00AF39D3"/>
    <w:rsid w:val="00B91DF0"/>
    <w:rsid w:val="00BC62BD"/>
    <w:rsid w:val="00BD7A00"/>
    <w:rsid w:val="00C129EE"/>
    <w:rsid w:val="00C66670"/>
    <w:rsid w:val="00C932DE"/>
    <w:rsid w:val="00CE5EBD"/>
    <w:rsid w:val="00D01BE7"/>
    <w:rsid w:val="00D23390"/>
    <w:rsid w:val="00D4184B"/>
    <w:rsid w:val="00DA3C63"/>
    <w:rsid w:val="00DF68FC"/>
    <w:rsid w:val="00E77341"/>
    <w:rsid w:val="00EE4D8F"/>
    <w:rsid w:val="00EF1B77"/>
    <w:rsid w:val="00F43ECC"/>
    <w:rsid w:val="00F60854"/>
    <w:rsid w:val="00F95342"/>
    <w:rsid w:val="00F95D40"/>
    <w:rsid w:val="00F9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32719"/>
  <w15:chartTrackingRefBased/>
  <w15:docId w15:val="{1EE01F92-4C26-42DF-9A98-6A5CDB70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3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2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3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B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B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B53"/>
    <w:rPr>
      <w:b/>
      <w:bCs/>
      <w:sz w:val="20"/>
      <w:szCs w:val="20"/>
    </w:rPr>
  </w:style>
  <w:style w:type="paragraph" w:customStyle="1" w:styleId="pf0">
    <w:name w:val="pf0"/>
    <w:basedOn w:val="Normal"/>
    <w:rsid w:val="0075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f01">
    <w:name w:val="cf01"/>
    <w:basedOn w:val="DefaultParagraphFont"/>
    <w:rsid w:val="00755AB6"/>
    <w:rPr>
      <w:rFonts w:ascii="Segoe UI" w:hAnsi="Segoe UI" w:cs="Segoe UI" w:hint="default"/>
      <w:color w:val="333333"/>
      <w:sz w:val="18"/>
      <w:szCs w:val="18"/>
    </w:rPr>
  </w:style>
  <w:style w:type="character" w:customStyle="1" w:styleId="cf21">
    <w:name w:val="cf21"/>
    <w:basedOn w:val="DefaultParagraphFont"/>
    <w:rsid w:val="00755AB6"/>
    <w:rPr>
      <w:rFonts w:ascii="Segoe UI" w:hAnsi="Segoe UI" w:cs="Segoe UI" w:hint="default"/>
      <w:b/>
      <w:bCs/>
      <w:i/>
      <w:iCs/>
      <w:color w:val="333333"/>
      <w:sz w:val="18"/>
      <w:szCs w:val="18"/>
    </w:rPr>
  </w:style>
  <w:style w:type="character" w:customStyle="1" w:styleId="cf31">
    <w:name w:val="cf31"/>
    <w:basedOn w:val="DefaultParagraphFont"/>
    <w:rsid w:val="00755A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hyperlink" Target="https://www.elsevier.com/insights/confidence-in-research/researcher-of-the-futu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078FD05B10B44887D5E3B5C23D63C" ma:contentTypeVersion="19" ma:contentTypeDescription="Create a new document." ma:contentTypeScope="" ma:versionID="a5cf6ba48e1383e1f095142ce7500b66">
  <xsd:schema xmlns:xsd="http://www.w3.org/2001/XMLSchema" xmlns:xs="http://www.w3.org/2001/XMLSchema" xmlns:p="http://schemas.microsoft.com/office/2006/metadata/properties" xmlns:ns2="a03218a2-0acb-4dbc-bf11-d289f3134e59" xmlns:ns3="e90c4cf4-d782-4930-940e-95c28f246293" targetNamespace="http://schemas.microsoft.com/office/2006/metadata/properties" ma:root="true" ma:fieldsID="249fcca2b873fd68b34ccbf62eea8cf6" ns2:_="" ns3:_="">
    <xsd:import namespace="a03218a2-0acb-4dbc-bf11-d289f3134e59"/>
    <xsd:import namespace="e90c4cf4-d782-4930-940e-95c28f24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8a2-0acb-4dbc-bf11-d289f3134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fa7ecc-8789-4e52-9303-1cb070710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4cf4-d782-4930-940e-95c28f246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19d52-d310-44cb-98ce-d229cab09508}" ma:internalName="TaxCatchAll" ma:showField="CatchAllData" ma:web="e90c4cf4-d782-4930-940e-95c28f24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218a2-0acb-4dbc-bf11-d289f3134e59">
      <Terms xmlns="http://schemas.microsoft.com/office/infopath/2007/PartnerControls"/>
    </lcf76f155ced4ddcb4097134ff3c332f>
    <TaxCatchAll xmlns="e90c4cf4-d782-4930-940e-95c28f246293" xsi:nil="true"/>
  </documentManagement>
</p:properties>
</file>

<file path=customXml/itemProps1.xml><?xml version="1.0" encoding="utf-8"?>
<ds:datastoreItem xmlns:ds="http://schemas.openxmlformats.org/officeDocument/2006/customXml" ds:itemID="{2F4F4ECA-DEDE-4203-95CF-0227DDF54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129420-5780-4CFB-B342-2EE8A076E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8a2-0acb-4dbc-bf11-d289f3134e59"/>
    <ds:schemaRef ds:uri="e90c4cf4-d782-4930-940e-95c28f24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51E5E-9696-4797-8248-BFB03503DB46}">
  <ds:schemaRefs>
    <ds:schemaRef ds:uri="http://schemas.microsoft.com/office/2006/metadata/properties"/>
    <ds:schemaRef ds:uri="http://schemas.microsoft.com/office/infopath/2007/PartnerControls"/>
    <ds:schemaRef ds:uri="a03218a2-0acb-4dbc-bf11-d289f3134e59"/>
    <ds:schemaRef ds:uri="e90c4cf4-d782-4930-940e-95c28f246293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1253</Words>
  <Characters>7807</Characters>
  <Application>Microsoft Office Word</Application>
  <DocSecurity>0</DocSecurity>
  <Lines>169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Communications</cp:lastModifiedBy>
  <cp:revision>28</cp:revision>
  <dcterms:created xsi:type="dcterms:W3CDTF">2026-04-22T15:13:00Z</dcterms:created>
  <dcterms:modified xsi:type="dcterms:W3CDTF">2026-04-22T15:33:00Z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0x010100457078FD05B10B44887D5E3B5C23D63C</vt:lpwstr>
  </property>
  <property fmtid="{D5CDD505-2E9C-101B-9397-08002B2CF9AE}" pid="3" name="MediaServiceImageTags">
    <vt:lpwstr/>
  </property>
</Properties>
</file>